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REFORMA CONTRA AUTO DE SOBRESEIMIENTO PROVISIONAL</w:t>
      </w:r>
    </w:p>
    <w:p/>
    <w:p>
      <w:r>
        <w:rPr>
          <w:b/>
          <w:sz w:val="20"/>
        </w:rPr>
        <w:t>AL JUZGADO DE INSTRUCCIÓN Nº _______ DE ____________________________</w:t>
      </w:r>
    </w:p>
    <w:p/>
    <w:p>
      <w:r>
        <w:rPr>
          <w:b w:val="0"/>
          <w:sz w:val="20"/>
        </w:rPr>
        <w:t>PARTE RECURRENTE:</w:t>
      </w:r>
    </w:p>
    <w:p>
      <w:r>
        <w:rPr>
          <w:b w:val="0"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Teléfono: ___________________     Correo electrónico: _________________________</w:t>
      </w:r>
    </w:p>
    <w:p/>
    <w:p>
      <w:r>
        <w:rPr>
          <w:b w:val="0"/>
          <w:sz w:val="20"/>
        </w:rPr>
        <w:t>Representado/a por el Procurador/a D./Dña. ______________________________________ y asistido/a del Letrado/a D./Dña. ____________________________________________, colegiado/a nº _________________.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En las presentes diligencias previas número ____________, seguidas por presunto delito de __________________________, se dictó Auto de fecha _____________________ por el que se acordaba el sobreseimiento provisional y archivo de las actuaciones.</w:t>
      </w:r>
    </w:p>
    <w:p>
      <w:r>
        <w:rPr>
          <w:b w:val="0"/>
          <w:sz w:val="20"/>
        </w:rPr>
        <w:t>Segundo.- Que no se comparte la fundamentación jurídica ni los hechos en que se basa el Auto recurrido, por los motivos que se exponen a continuación.</w:t>
      </w:r>
    </w:p>
    <w:p/>
    <w:p>
      <w:r>
        <w:rPr>
          <w:b/>
          <w:sz w:val="20"/>
        </w:rPr>
        <w:t>FUNDAMENTOS DE HECHO</w:t>
      </w:r>
    </w:p>
    <w:p>
      <w:r>
        <w:rPr>
          <w:b w:val="0"/>
          <w:sz w:val="20"/>
        </w:rPr>
        <w:t>ÚNICO.- Se reproducen íntegramente los hechos expuestos en la denuncia/querella que dio origen a las presentes diligencias, así como las alegaciones y pruebas practicadas en el curso de la instrucción, destacando especialmente los siguientes aspectos: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Jurisdicción y competencia: Corresponde conocer del presente recurso al mismo Juzgado que dictó la resolución recurrida, conforme a lo dispuesto en el art. 217 de la Ley de Enjuiciamiento Criminal.</w:t>
      </w:r>
    </w:p>
    <w:p>
      <w:r>
        <w:rPr>
          <w:b w:val="0"/>
          <w:sz w:val="20"/>
        </w:rPr>
        <w:t>II. Legitimación: Ostenta la parte recurrente legitimación activa para interponer el presente recurso, al ser parte personada en la causa y verse directamente afectada por la resolución recurrida.</w:t>
      </w:r>
    </w:p>
    <w:p>
      <w:r>
        <w:rPr>
          <w:b w:val="0"/>
          <w:sz w:val="20"/>
        </w:rPr>
        <w:t>III. Fondo del asunto: El Auto recurrido incurre en infracción del derecho fundamental a la tutela judicial efectiva (art. 24 CE), dado que existen indicios racionales de criminalidad que no han sido suficientemente valorados o investigados, resultando prematuro acordar el sobreseimiento provisional. Existen diligencias pendientes y pruebas que podrían esclarecer los hechos y determinar la responsabilidad penal de los investigados.</w:t>
      </w:r>
    </w:p>
    <w:p>
      <w:r>
        <w:rPr>
          <w:b w:val="0"/>
          <w:sz w:val="20"/>
        </w:rPr>
        <w:t>IV. Procedimiento: El recurso de reforma se interpone en tiempo y forma conforme al artículo 216 y siguientes de la Ley de Enjuiciamiento Criminal.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se sirva admitirlo y, en su virtud, tenga por interpuesto RECURSO DE REFORMA contra el Auto de sobreseimiento provisional dictado en las presentes diligencias, y previos los trámites legales oportunos, dicte nueva resolución dejando sin efecto dicho Auto y acordando la continuación de la instrucción, con práctica de las diligencias que se estimen necesarias para el total esclarecimiento de los hechos.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Que, para el caso de no ser estimado el presente recurso de reforma, se tenga por preparado RECURSO DE APELACIÓN en tiempo y forma, de conformidad con lo dispuesto en el artículo 766 de la Ley de Enjuiciamiento Criminal.</w:t>
      </w:r>
    </w:p>
    <w:p/>
    <w:p/>
    <w:p>
      <w:r>
        <w:rPr>
          <w:b w:val="0"/>
          <w:sz w:val="20"/>
        </w:rPr>
        <w:t>EL/LA RECURRENTE</w:t>
      </w:r>
    </w:p>
    <w:p/>
    <w:p/>
    <w:p/>
    <w:p>
      <w:r>
        <w:rPr>
          <w:b w:val="0"/>
          <w:sz w:val="20"/>
        </w:rPr>
        <w:t>Firma: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https://experto-recursos.com/recurso-de-reforma-contra-auto-de-sobreseimiento-provisional/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reforma-contra-auto-de-sobreseimiento-provisional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